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1B6BF3" w14:paraId="04614EAB" w14:textId="77777777" w:rsidTr="00DF1A9F">
        <w:trPr>
          <w:trHeight w:val="251"/>
        </w:trPr>
        <w:tc>
          <w:tcPr>
            <w:tcW w:w="10854" w:type="dxa"/>
            <w:shd w:val="clear" w:color="auto" w:fill="auto"/>
          </w:tcPr>
          <w:p w14:paraId="1BF440A9" w14:textId="6ADF8DD5" w:rsidR="00AE15C8" w:rsidRPr="001B6BF3" w:rsidRDefault="00E74F7C" w:rsidP="00DF1A9F">
            <w:pPr>
              <w:spacing w:after="0" w:line="240" w:lineRule="auto"/>
              <w:rPr>
                <w:rFonts w:ascii="Verdana" w:hAnsi="Verdana" w:cs="Arial"/>
                <w:b/>
                <w:color w:val="661029"/>
                <w:sz w:val="24"/>
                <w:szCs w:val="24"/>
              </w:rPr>
            </w:pPr>
            <w:r w:rsidRPr="001B6BF3">
              <w:rPr>
                <w:rFonts w:ascii="Verdana" w:hAnsi="Verdana" w:cs="Arial"/>
                <w:b/>
                <w:color w:val="661029"/>
                <w:sz w:val="24"/>
                <w:szCs w:val="24"/>
              </w:rPr>
              <w:t>Intonation phrases as action components</w:t>
            </w:r>
          </w:p>
        </w:tc>
      </w:tr>
      <w:tr w:rsidR="003A0660" w:rsidRPr="001B6BF3" w14:paraId="1F83D998" w14:textId="77777777" w:rsidTr="00DF1A9F">
        <w:trPr>
          <w:trHeight w:val="103"/>
        </w:trPr>
        <w:tc>
          <w:tcPr>
            <w:tcW w:w="10854" w:type="dxa"/>
          </w:tcPr>
          <w:p w14:paraId="04EA65A0" w14:textId="77777777" w:rsidR="001B6BF3" w:rsidRPr="001B6BF3" w:rsidRDefault="001B6BF3" w:rsidP="00DF1A9F">
            <w:pPr>
              <w:spacing w:after="0" w:line="240" w:lineRule="auto"/>
              <w:rPr>
                <w:rFonts w:ascii="Verdana" w:hAnsi="Verdana" w:cs="Arial"/>
                <w:sz w:val="24"/>
                <w:szCs w:val="24"/>
              </w:rPr>
            </w:pPr>
          </w:p>
          <w:p w14:paraId="2F4954F0" w14:textId="77777777" w:rsidR="00FC46B8" w:rsidRPr="001B6BF3" w:rsidRDefault="001B6BF3" w:rsidP="00DF1A9F">
            <w:pPr>
              <w:spacing w:after="0" w:line="240" w:lineRule="auto"/>
              <w:rPr>
                <w:rFonts w:ascii="Verdana" w:hAnsi="Verdana" w:cs="Arial"/>
                <w:sz w:val="24"/>
                <w:szCs w:val="24"/>
              </w:rPr>
            </w:pPr>
            <w:r w:rsidRPr="001B6BF3">
              <w:rPr>
                <w:rFonts w:ascii="Verdana" w:hAnsi="Verdana" w:cs="Arial"/>
                <w:sz w:val="24"/>
                <w:szCs w:val="24"/>
              </w:rPr>
              <w:t>Beatrice Szczepek Reed (York)</w:t>
            </w:r>
          </w:p>
          <w:p w14:paraId="24139D3C" w14:textId="6A19F95E" w:rsidR="001B6BF3" w:rsidRPr="001B6BF3" w:rsidRDefault="001B6BF3" w:rsidP="00DF1A9F">
            <w:pPr>
              <w:spacing w:after="0" w:line="240" w:lineRule="auto"/>
              <w:rPr>
                <w:rFonts w:ascii="Verdana" w:hAnsi="Verdana" w:cs="Arial"/>
                <w:color w:val="000000"/>
                <w:sz w:val="20"/>
                <w:szCs w:val="20"/>
              </w:rPr>
            </w:pPr>
          </w:p>
        </w:tc>
      </w:tr>
      <w:tr w:rsidR="003A0660" w:rsidRPr="001B6BF3" w14:paraId="3BFA6222" w14:textId="77777777" w:rsidTr="00DF1A9F">
        <w:trPr>
          <w:trHeight w:val="454"/>
        </w:trPr>
        <w:tc>
          <w:tcPr>
            <w:tcW w:w="10854" w:type="dxa"/>
            <w:shd w:val="clear" w:color="auto" w:fill="095E2D"/>
            <w:vAlign w:val="center"/>
          </w:tcPr>
          <w:p w14:paraId="203F6B0C" w14:textId="6B1E4964" w:rsidR="00AE15C8" w:rsidRPr="001B6BF3" w:rsidRDefault="003A0660" w:rsidP="00DF1A9F">
            <w:pPr>
              <w:spacing w:after="0" w:line="240" w:lineRule="auto"/>
              <w:rPr>
                <w:rFonts w:ascii="Verdana" w:hAnsi="Verdana" w:cs="Arial"/>
                <w:b/>
                <w:color w:val="FFFFFF" w:themeColor="background1"/>
                <w:sz w:val="20"/>
                <w:szCs w:val="20"/>
                <w:lang w:val="nl-NL"/>
              </w:rPr>
            </w:pPr>
            <w:r w:rsidRPr="001B6BF3">
              <w:rPr>
                <w:rFonts w:ascii="Verdana" w:hAnsi="Verdana" w:cs="Arial"/>
                <w:b/>
                <w:color w:val="FFFFFF" w:themeColor="background1"/>
                <w:sz w:val="20"/>
                <w:szCs w:val="20"/>
                <w:lang w:val="nl-NL"/>
              </w:rPr>
              <w:t>Background</w:t>
            </w:r>
          </w:p>
        </w:tc>
      </w:tr>
      <w:tr w:rsidR="003A0660" w:rsidRPr="001B6BF3" w14:paraId="29313417" w14:textId="77777777" w:rsidTr="00DF1A9F">
        <w:trPr>
          <w:trHeight w:val="1684"/>
        </w:trPr>
        <w:tc>
          <w:tcPr>
            <w:tcW w:w="10854" w:type="dxa"/>
          </w:tcPr>
          <w:p w14:paraId="2B4C3C4D" w14:textId="77777777" w:rsidR="001B6BF3" w:rsidRPr="001B6BF3" w:rsidRDefault="001B6BF3" w:rsidP="001B6BF3">
            <w:pPr>
              <w:autoSpaceDE w:val="0"/>
              <w:autoSpaceDN w:val="0"/>
              <w:adjustRightInd w:val="0"/>
              <w:spacing w:after="0" w:line="240" w:lineRule="auto"/>
              <w:rPr>
                <w:rFonts w:ascii="Verdana" w:hAnsi="Verdana" w:cs="Arial"/>
                <w:sz w:val="20"/>
                <w:szCs w:val="20"/>
              </w:rPr>
            </w:pPr>
          </w:p>
          <w:p w14:paraId="6A6ECE2F" w14:textId="5D27B264" w:rsidR="003A0660" w:rsidRPr="001B6BF3" w:rsidRDefault="001B6BF3" w:rsidP="001B6BF3">
            <w:pPr>
              <w:autoSpaceDE w:val="0"/>
              <w:autoSpaceDN w:val="0"/>
              <w:adjustRightInd w:val="0"/>
              <w:spacing w:after="0" w:line="240" w:lineRule="auto"/>
              <w:rPr>
                <w:rFonts w:ascii="Verdana" w:hAnsi="Verdana" w:cs="Arial"/>
                <w:sz w:val="20"/>
                <w:szCs w:val="20"/>
              </w:rPr>
            </w:pPr>
            <w:r w:rsidRPr="001B6BF3">
              <w:rPr>
                <w:rFonts w:ascii="Verdana" w:hAnsi="Verdana" w:cs="Arial"/>
                <w:sz w:val="20"/>
                <w:szCs w:val="20"/>
              </w:rPr>
              <w:t xml:space="preserve">This project asks whether stretches of talk, similar to “intonation phrases” in size and boundary cues, are oriented to by conversational participants as relevant for spontaneous spoken interaction. The focus is on native speakers of British and American varieties of English. </w:t>
            </w:r>
            <w:proofErr w:type="gramStart"/>
            <w:r w:rsidRPr="001B6BF3">
              <w:rPr>
                <w:rFonts w:ascii="Verdana" w:hAnsi="Verdana" w:cs="Arial"/>
                <w:sz w:val="20"/>
                <w:szCs w:val="20"/>
              </w:rPr>
              <w:t>Both the</w:t>
            </w:r>
            <w:proofErr w:type="gramEnd"/>
            <w:r w:rsidRPr="001B6BF3">
              <w:rPr>
                <w:rFonts w:ascii="Verdana" w:hAnsi="Verdana" w:cs="Arial"/>
                <w:sz w:val="20"/>
                <w:szCs w:val="20"/>
              </w:rPr>
              <w:t xml:space="preserve"> existence and the relevance of intonation phrases are taken for granted by many interactional, and other, linguists, but they play hardly any role in the work by conversation analysts with a background in sociology. This is most probably the case because linguists are trained in a tradition that places high emphasis on units (of language), whereas sociologically minded analysts of language-in-conversation are predominantly interested in the system of social interaction, specifically the order and organization of sequences (</w:t>
            </w:r>
            <w:proofErr w:type="spellStart"/>
            <w:r w:rsidRPr="001B6BF3">
              <w:rPr>
                <w:rFonts w:ascii="Verdana" w:hAnsi="Verdana" w:cs="Arial"/>
                <w:sz w:val="20"/>
                <w:szCs w:val="20"/>
              </w:rPr>
              <w:t>Schegloff</w:t>
            </w:r>
            <w:proofErr w:type="spellEnd"/>
            <w:r w:rsidRPr="001B6BF3">
              <w:rPr>
                <w:rFonts w:ascii="Verdana" w:hAnsi="Verdana" w:cs="Arial"/>
                <w:sz w:val="20"/>
                <w:szCs w:val="20"/>
              </w:rPr>
              <w:t xml:space="preserve"> 2007), and the resulting sequential locations. It therefore seems sensible to ask whether intonation phrases are indeed a unit of interaction, that is, whether participants orient to them as separate, meaningful entities. If we cannot </w:t>
            </w:r>
            <w:r w:rsidRPr="001B6BF3">
              <w:rPr>
                <w:rFonts w:ascii="Verdana" w:hAnsi="Verdana" w:cs="Arial"/>
                <w:color w:val="000000"/>
                <w:sz w:val="20"/>
                <w:szCs w:val="20"/>
              </w:rPr>
              <w:t>find convincing evidence that intonation phrases are indeed relevant for participants themselves, it does not seem appropriate</w:t>
            </w:r>
            <w:r w:rsidRPr="001B6BF3">
              <w:rPr>
                <w:rFonts w:ascii="Verdana" w:hAnsi="Verdana" w:cs="Arial"/>
                <w:sz w:val="20"/>
                <w:szCs w:val="20"/>
              </w:rPr>
              <w:t xml:space="preserve"> to continue to use them, neither as an analytical category, nor as a unit for transcription. If, on the other hand, we do find proof that participants observably employ a phrasing mechanism for the accomplishment of actions which is not already captured in established concepts such as the turn and the Turn Constructional Unit (TCU), then it may be desirable to introduce this unit into a broader conversation analytic framework.</w:t>
            </w:r>
          </w:p>
          <w:p w14:paraId="0F9383BA" w14:textId="77777777" w:rsidR="00FC46B8" w:rsidRPr="001B6BF3" w:rsidRDefault="00FC46B8" w:rsidP="00DF1A9F">
            <w:pPr>
              <w:spacing w:after="0" w:line="240" w:lineRule="auto"/>
              <w:rPr>
                <w:rFonts w:ascii="Verdana" w:hAnsi="Verdana" w:cs="Arial"/>
                <w:b/>
                <w:sz w:val="20"/>
                <w:szCs w:val="20"/>
              </w:rPr>
            </w:pPr>
          </w:p>
        </w:tc>
      </w:tr>
      <w:tr w:rsidR="003A0660" w:rsidRPr="001B6BF3" w14:paraId="4D48D9A5" w14:textId="77777777" w:rsidTr="00DF1A9F">
        <w:trPr>
          <w:trHeight w:val="454"/>
        </w:trPr>
        <w:tc>
          <w:tcPr>
            <w:tcW w:w="10854" w:type="dxa"/>
            <w:shd w:val="clear" w:color="auto" w:fill="095E2D"/>
            <w:vAlign w:val="center"/>
          </w:tcPr>
          <w:p w14:paraId="5FA80EB3" w14:textId="565C0EB7" w:rsidR="003A0660" w:rsidRPr="001B6BF3" w:rsidRDefault="003A0660" w:rsidP="00DF1A9F">
            <w:pPr>
              <w:spacing w:after="0" w:line="240" w:lineRule="auto"/>
              <w:rPr>
                <w:rFonts w:ascii="Verdana" w:hAnsi="Verdana" w:cs="Arial"/>
                <w:b/>
                <w:sz w:val="20"/>
                <w:szCs w:val="20"/>
                <w:lang w:val="en-US"/>
              </w:rPr>
            </w:pPr>
            <w:r w:rsidRPr="001B6BF3">
              <w:rPr>
                <w:rFonts w:ascii="Verdana" w:hAnsi="Verdana" w:cs="Arial"/>
                <w:b/>
                <w:color w:val="FFFFFF" w:themeColor="background1"/>
                <w:sz w:val="20"/>
                <w:szCs w:val="20"/>
                <w:lang w:val="nl-NL"/>
              </w:rPr>
              <w:t>Aims &amp; Design</w:t>
            </w:r>
          </w:p>
        </w:tc>
      </w:tr>
      <w:tr w:rsidR="003A0660" w:rsidRPr="001B6BF3" w14:paraId="691331F0" w14:textId="77777777" w:rsidTr="00DF1A9F">
        <w:trPr>
          <w:trHeight w:val="985"/>
        </w:trPr>
        <w:tc>
          <w:tcPr>
            <w:tcW w:w="10854" w:type="dxa"/>
          </w:tcPr>
          <w:p w14:paraId="6AFCFDD2" w14:textId="77777777" w:rsidR="00DF1A9F" w:rsidRPr="001B6BF3" w:rsidRDefault="00DF1A9F" w:rsidP="00DF1A9F">
            <w:pPr>
              <w:spacing w:after="0" w:line="240" w:lineRule="auto"/>
              <w:rPr>
                <w:rFonts w:ascii="Verdana" w:hAnsi="Verdana" w:cs="Arial"/>
                <w:color w:val="000000"/>
                <w:sz w:val="20"/>
                <w:szCs w:val="20"/>
              </w:rPr>
            </w:pPr>
          </w:p>
          <w:p w14:paraId="7ED26900" w14:textId="622947D7" w:rsidR="003A0660" w:rsidRPr="001B6BF3" w:rsidRDefault="001B6BF3" w:rsidP="001B6BF3">
            <w:pPr>
              <w:spacing w:line="240" w:lineRule="auto"/>
              <w:jc w:val="both"/>
              <w:rPr>
                <w:rFonts w:ascii="Verdana" w:hAnsi="Verdana" w:cs="Arial"/>
                <w:sz w:val="20"/>
                <w:szCs w:val="20"/>
              </w:rPr>
            </w:pPr>
            <w:r w:rsidRPr="001B6BF3">
              <w:rPr>
                <w:rFonts w:ascii="Verdana" w:hAnsi="Verdana" w:cs="Arial"/>
                <w:sz w:val="20"/>
                <w:szCs w:val="20"/>
              </w:rPr>
              <w:t xml:space="preserve">Following a conversation analytic approach, three practices are singled out in which the use of individual chunks, and participants’ orientation to chunks as chunks, is particularly salient and frequent: collaborative turn production, list construction and </w:t>
            </w:r>
            <w:r w:rsidRPr="001B6BF3">
              <w:rPr>
                <w:rFonts w:ascii="Verdana" w:hAnsi="Verdana" w:cs="Arial"/>
                <w:i/>
                <w:sz w:val="20"/>
                <w:szCs w:val="20"/>
              </w:rPr>
              <w:t>well</w:t>
            </w:r>
            <w:r w:rsidRPr="001B6BF3">
              <w:rPr>
                <w:rFonts w:ascii="Verdana" w:hAnsi="Verdana" w:cs="Arial"/>
                <w:sz w:val="20"/>
                <w:szCs w:val="20"/>
              </w:rPr>
              <w:t xml:space="preserve">-prefaced sequence initiation. While aspects of all of them have already been studied extensively in their own right, what will hopefully be shown is participants’ employment of, and orientation to, chunks as individual discourse entities, which do not constitute (potential) stand-alone turns, and as such are not TCUs in their own </w:t>
            </w:r>
            <w:proofErr w:type="gramStart"/>
            <w:r w:rsidRPr="001B6BF3">
              <w:rPr>
                <w:rFonts w:ascii="Verdana" w:hAnsi="Verdana" w:cs="Arial"/>
                <w:sz w:val="20"/>
                <w:szCs w:val="20"/>
              </w:rPr>
              <w:t>right.</w:t>
            </w:r>
            <w:proofErr w:type="gramEnd"/>
          </w:p>
        </w:tc>
      </w:tr>
      <w:tr w:rsidR="003A0660" w:rsidRPr="001B6BF3" w14:paraId="78E557FB" w14:textId="77777777" w:rsidTr="00DF1A9F">
        <w:trPr>
          <w:trHeight w:val="454"/>
        </w:trPr>
        <w:tc>
          <w:tcPr>
            <w:tcW w:w="10854" w:type="dxa"/>
            <w:shd w:val="clear" w:color="auto" w:fill="095E2D"/>
            <w:vAlign w:val="center"/>
          </w:tcPr>
          <w:p w14:paraId="206FB7A7" w14:textId="3136C033" w:rsidR="003A0660" w:rsidRPr="001B6BF3" w:rsidRDefault="003A0660" w:rsidP="00DF1A9F">
            <w:pPr>
              <w:spacing w:after="0" w:line="240" w:lineRule="auto"/>
              <w:rPr>
                <w:rFonts w:ascii="Verdana" w:hAnsi="Verdana" w:cs="Arial"/>
                <w:b/>
                <w:sz w:val="20"/>
                <w:szCs w:val="20"/>
                <w:lang w:val="en-US"/>
              </w:rPr>
            </w:pPr>
            <w:r w:rsidRPr="001B6BF3">
              <w:rPr>
                <w:rFonts w:ascii="Verdana" w:hAnsi="Verdana" w:cs="Arial"/>
                <w:b/>
                <w:color w:val="FFFFFF" w:themeColor="background1"/>
                <w:sz w:val="20"/>
                <w:szCs w:val="20"/>
                <w:lang w:val="en-US"/>
              </w:rPr>
              <w:t>Funding</w:t>
            </w:r>
          </w:p>
        </w:tc>
      </w:tr>
      <w:tr w:rsidR="003A0660" w:rsidRPr="001B6BF3" w14:paraId="2788EF29" w14:textId="77777777" w:rsidTr="00DF1A9F">
        <w:trPr>
          <w:trHeight w:val="495"/>
        </w:trPr>
        <w:tc>
          <w:tcPr>
            <w:tcW w:w="10854" w:type="dxa"/>
          </w:tcPr>
          <w:p w14:paraId="11C1D353" w14:textId="77777777" w:rsidR="001B6BF3" w:rsidRPr="001B6BF3" w:rsidRDefault="001B6BF3" w:rsidP="001B6BF3">
            <w:pPr>
              <w:spacing w:after="0" w:line="240" w:lineRule="auto"/>
              <w:rPr>
                <w:rFonts w:ascii="Verdana" w:hAnsi="Verdana" w:cs="Arial"/>
                <w:sz w:val="20"/>
                <w:szCs w:val="20"/>
                <w:lang w:val="en-US"/>
              </w:rPr>
            </w:pPr>
          </w:p>
          <w:p w14:paraId="78F256AC" w14:textId="27CFB8BF" w:rsidR="003A0660" w:rsidRPr="001B6BF3" w:rsidRDefault="001B6BF3" w:rsidP="00DF1A9F">
            <w:pPr>
              <w:spacing w:after="0" w:line="240" w:lineRule="auto"/>
              <w:rPr>
                <w:rFonts w:ascii="Verdana" w:hAnsi="Verdana" w:cs="Arial"/>
                <w:sz w:val="20"/>
                <w:szCs w:val="20"/>
                <w:lang w:val="en-US"/>
              </w:rPr>
            </w:pPr>
            <w:r w:rsidRPr="001B6BF3">
              <w:rPr>
                <w:rFonts w:ascii="Verdana" w:hAnsi="Verdana" w:cs="Arial"/>
                <w:sz w:val="20"/>
                <w:szCs w:val="20"/>
                <w:lang w:val="en-US"/>
              </w:rPr>
              <w:t>European collaborators</w:t>
            </w:r>
          </w:p>
          <w:p w14:paraId="116D41FB" w14:textId="77777777" w:rsidR="00FC46B8" w:rsidRPr="001B6BF3" w:rsidRDefault="00FC46B8" w:rsidP="00DF1A9F">
            <w:pPr>
              <w:spacing w:after="0" w:line="240" w:lineRule="auto"/>
              <w:rPr>
                <w:rFonts w:ascii="Verdana" w:hAnsi="Verdana" w:cs="Arial"/>
                <w:b/>
                <w:sz w:val="20"/>
                <w:szCs w:val="20"/>
              </w:rPr>
            </w:pPr>
          </w:p>
        </w:tc>
      </w:tr>
      <w:tr w:rsidR="003A0660" w:rsidRPr="001B6BF3" w14:paraId="21E8B958" w14:textId="77777777" w:rsidTr="00DF1A9F">
        <w:trPr>
          <w:trHeight w:val="454"/>
        </w:trPr>
        <w:tc>
          <w:tcPr>
            <w:tcW w:w="10854" w:type="dxa"/>
            <w:shd w:val="clear" w:color="auto" w:fill="095E2D"/>
            <w:vAlign w:val="center"/>
          </w:tcPr>
          <w:p w14:paraId="72C24547" w14:textId="2110A802" w:rsidR="003A0660" w:rsidRPr="001B6BF3" w:rsidRDefault="0036715A" w:rsidP="00DF1A9F">
            <w:pPr>
              <w:autoSpaceDE w:val="0"/>
              <w:autoSpaceDN w:val="0"/>
              <w:adjustRightInd w:val="0"/>
              <w:spacing w:after="0" w:line="240" w:lineRule="auto"/>
              <w:rPr>
                <w:rFonts w:ascii="Verdana" w:hAnsi="Verdana" w:cs="Arial"/>
                <w:b/>
                <w:sz w:val="20"/>
                <w:szCs w:val="20"/>
                <w:lang w:val="nl-NL"/>
              </w:rPr>
            </w:pPr>
            <w:r w:rsidRPr="001B6BF3">
              <w:rPr>
                <w:rFonts w:ascii="Verdana" w:hAnsi="Verdana"/>
                <w:sz w:val="20"/>
                <w:szCs w:val="20"/>
              </w:rPr>
              <w:br w:type="page"/>
            </w:r>
            <w:r w:rsidR="003A0660" w:rsidRPr="001B6BF3">
              <w:rPr>
                <w:rFonts w:ascii="Verdana" w:hAnsi="Verdana" w:cs="Arial"/>
                <w:b/>
                <w:color w:val="FFFFFF" w:themeColor="background1"/>
                <w:sz w:val="20"/>
                <w:szCs w:val="20"/>
                <w:lang w:val="nl-NL"/>
              </w:rPr>
              <w:t>Impacts</w:t>
            </w:r>
          </w:p>
        </w:tc>
      </w:tr>
      <w:tr w:rsidR="003A0660" w:rsidRPr="001B6BF3" w14:paraId="786B313A" w14:textId="77777777" w:rsidTr="00DF1A9F">
        <w:trPr>
          <w:trHeight w:val="1052"/>
        </w:trPr>
        <w:tc>
          <w:tcPr>
            <w:tcW w:w="10854" w:type="dxa"/>
          </w:tcPr>
          <w:p w14:paraId="078BC3D1" w14:textId="77777777" w:rsidR="00DF1A9F" w:rsidRPr="001B6BF3" w:rsidRDefault="00DF1A9F" w:rsidP="00DF1A9F">
            <w:pPr>
              <w:widowControl w:val="0"/>
              <w:autoSpaceDE w:val="0"/>
              <w:autoSpaceDN w:val="0"/>
              <w:adjustRightInd w:val="0"/>
              <w:spacing w:after="0" w:line="240" w:lineRule="auto"/>
              <w:rPr>
                <w:rFonts w:ascii="Verdana" w:hAnsi="Verdana" w:cs="Arial"/>
                <w:sz w:val="20"/>
                <w:szCs w:val="20"/>
              </w:rPr>
            </w:pPr>
          </w:p>
          <w:p w14:paraId="291F7B87" w14:textId="77777777" w:rsidR="001B6BF3" w:rsidRPr="001B6BF3" w:rsidRDefault="001B6BF3" w:rsidP="001B6BF3">
            <w:pPr>
              <w:widowControl w:val="0"/>
              <w:autoSpaceDE w:val="0"/>
              <w:autoSpaceDN w:val="0"/>
              <w:adjustRightInd w:val="0"/>
              <w:spacing w:after="0" w:line="240" w:lineRule="auto"/>
              <w:rPr>
                <w:rFonts w:ascii="Verdana" w:hAnsi="Verdana" w:cs="Arial"/>
                <w:sz w:val="20"/>
                <w:szCs w:val="20"/>
              </w:rPr>
            </w:pPr>
            <w:r w:rsidRPr="001B6BF3">
              <w:rPr>
                <w:rFonts w:ascii="Verdana" w:hAnsi="Verdana" w:cs="Arial"/>
                <w:sz w:val="20"/>
                <w:szCs w:val="20"/>
              </w:rPr>
              <w:t>Presentations:</w:t>
            </w:r>
          </w:p>
          <w:p w14:paraId="37D2A217" w14:textId="77777777" w:rsidR="001B6BF3" w:rsidRPr="001B6BF3" w:rsidRDefault="001B6BF3" w:rsidP="001B6BF3">
            <w:pPr>
              <w:widowControl w:val="0"/>
              <w:autoSpaceDE w:val="0"/>
              <w:autoSpaceDN w:val="0"/>
              <w:adjustRightInd w:val="0"/>
              <w:spacing w:after="0" w:line="240" w:lineRule="auto"/>
              <w:rPr>
                <w:rFonts w:ascii="Verdana" w:hAnsi="Verdana" w:cs="Arial"/>
                <w:sz w:val="20"/>
                <w:szCs w:val="20"/>
              </w:rPr>
            </w:pPr>
          </w:p>
          <w:p w14:paraId="26A1211A" w14:textId="77777777" w:rsidR="001B6BF3" w:rsidRPr="001B6BF3" w:rsidRDefault="001B6BF3" w:rsidP="001B6BF3">
            <w:pPr>
              <w:autoSpaceDE w:val="0"/>
              <w:autoSpaceDN w:val="0"/>
              <w:adjustRightInd w:val="0"/>
              <w:spacing w:after="0" w:line="240" w:lineRule="auto"/>
              <w:rPr>
                <w:rFonts w:ascii="Verdana" w:hAnsi="Verdana" w:cs="Arial"/>
                <w:i/>
                <w:sz w:val="20"/>
                <w:szCs w:val="20"/>
              </w:rPr>
            </w:pPr>
            <w:r w:rsidRPr="001B6BF3">
              <w:rPr>
                <w:rFonts w:ascii="Verdana" w:hAnsi="Verdana" w:cs="Arial"/>
                <w:sz w:val="20"/>
                <w:szCs w:val="20"/>
              </w:rPr>
              <w:t xml:space="preserve">October 29, 2010: Invited speaker at the Institute for German Language, Mannheim, Germany. Paper: </w:t>
            </w:r>
            <w:r w:rsidRPr="001B6BF3">
              <w:rPr>
                <w:rFonts w:ascii="Verdana" w:hAnsi="Verdana" w:cs="Arial"/>
                <w:i/>
                <w:sz w:val="20"/>
                <w:szCs w:val="20"/>
              </w:rPr>
              <w:t>Collaborative turns: A participant framework for studying units of language.</w:t>
            </w:r>
          </w:p>
          <w:p w14:paraId="0E7FA6A2" w14:textId="77777777" w:rsidR="001B6BF3" w:rsidRPr="001B6BF3" w:rsidRDefault="001B6BF3" w:rsidP="001B6BF3">
            <w:pPr>
              <w:autoSpaceDE w:val="0"/>
              <w:autoSpaceDN w:val="0"/>
              <w:adjustRightInd w:val="0"/>
              <w:spacing w:after="0" w:line="240" w:lineRule="auto"/>
              <w:rPr>
                <w:rFonts w:ascii="Verdana" w:hAnsi="Verdana" w:cs="Arial"/>
                <w:sz w:val="20"/>
                <w:szCs w:val="20"/>
                <w:lang w:val="nl-NL"/>
              </w:rPr>
            </w:pPr>
          </w:p>
          <w:p w14:paraId="52285391" w14:textId="77777777" w:rsidR="001B6BF3" w:rsidRPr="001B6BF3" w:rsidRDefault="001B6BF3" w:rsidP="001B6BF3">
            <w:pPr>
              <w:autoSpaceDE w:val="0"/>
              <w:autoSpaceDN w:val="0"/>
              <w:adjustRightInd w:val="0"/>
              <w:spacing w:after="0" w:line="240" w:lineRule="auto"/>
              <w:rPr>
                <w:rFonts w:ascii="Verdana" w:hAnsi="Verdana" w:cs="Arial"/>
                <w:i/>
                <w:sz w:val="20"/>
                <w:szCs w:val="20"/>
              </w:rPr>
            </w:pPr>
            <w:r w:rsidRPr="001B6BF3">
              <w:rPr>
                <w:rFonts w:ascii="Verdana" w:hAnsi="Verdana" w:cs="Arial"/>
                <w:sz w:val="20"/>
                <w:szCs w:val="20"/>
              </w:rPr>
              <w:t xml:space="preserve">September 15 – 17, 2008: Invited speaker at the </w:t>
            </w:r>
            <w:r w:rsidRPr="001B6BF3">
              <w:rPr>
                <w:rFonts w:ascii="Verdana" w:hAnsi="Verdana" w:cs="Arial"/>
                <w:i/>
                <w:sz w:val="20"/>
                <w:szCs w:val="20"/>
              </w:rPr>
              <w:t>Conference on</w:t>
            </w:r>
            <w:r w:rsidRPr="001B6BF3">
              <w:rPr>
                <w:rFonts w:ascii="Verdana" w:hAnsi="Verdana" w:cs="Arial"/>
                <w:sz w:val="20"/>
                <w:szCs w:val="20"/>
              </w:rPr>
              <w:t xml:space="preserve"> </w:t>
            </w:r>
            <w:r w:rsidRPr="001B6BF3">
              <w:rPr>
                <w:rFonts w:ascii="Verdana" w:hAnsi="Verdana" w:cs="Arial"/>
                <w:i/>
                <w:sz w:val="20"/>
                <w:szCs w:val="20"/>
              </w:rPr>
              <w:t>Prosody and Interaction</w:t>
            </w:r>
            <w:r w:rsidRPr="001B6BF3">
              <w:rPr>
                <w:rFonts w:ascii="Verdana" w:hAnsi="Verdana" w:cs="Arial"/>
                <w:sz w:val="20"/>
                <w:szCs w:val="20"/>
              </w:rPr>
              <w:t xml:space="preserve">, Potsdam, Germany. Paper: </w:t>
            </w:r>
            <w:r w:rsidRPr="001B6BF3">
              <w:rPr>
                <w:rFonts w:ascii="Verdana" w:hAnsi="Verdana" w:cs="Arial"/>
                <w:i/>
                <w:sz w:val="20"/>
                <w:szCs w:val="20"/>
              </w:rPr>
              <w:t>Tone units in natural conversation: An empirical category?</w:t>
            </w:r>
          </w:p>
          <w:p w14:paraId="03F4073D" w14:textId="77777777" w:rsidR="003A0660" w:rsidRPr="001B6BF3" w:rsidRDefault="003A0660" w:rsidP="00DF1A9F">
            <w:pPr>
              <w:autoSpaceDE w:val="0"/>
              <w:autoSpaceDN w:val="0"/>
              <w:adjustRightInd w:val="0"/>
              <w:spacing w:after="0" w:line="240" w:lineRule="auto"/>
              <w:rPr>
                <w:rFonts w:ascii="Verdana" w:hAnsi="Verdana" w:cs="Arial"/>
                <w:sz w:val="20"/>
                <w:szCs w:val="20"/>
              </w:rPr>
            </w:pPr>
          </w:p>
          <w:p w14:paraId="23BBD871" w14:textId="77777777" w:rsidR="00FC46B8" w:rsidRPr="001B6BF3"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1B6BF3" w14:paraId="47DCA0E1" w14:textId="77777777" w:rsidTr="00DF1A9F">
        <w:trPr>
          <w:trHeight w:val="454"/>
        </w:trPr>
        <w:tc>
          <w:tcPr>
            <w:tcW w:w="10854" w:type="dxa"/>
            <w:shd w:val="clear" w:color="auto" w:fill="095E2D"/>
            <w:vAlign w:val="center"/>
          </w:tcPr>
          <w:p w14:paraId="43B668BB" w14:textId="17A98967" w:rsidR="003A0660" w:rsidRPr="001B6BF3" w:rsidRDefault="003A0660" w:rsidP="00DF1A9F">
            <w:pPr>
              <w:autoSpaceDE w:val="0"/>
              <w:autoSpaceDN w:val="0"/>
              <w:adjustRightInd w:val="0"/>
              <w:spacing w:after="0" w:line="240" w:lineRule="auto"/>
              <w:rPr>
                <w:rFonts w:ascii="Verdana" w:hAnsi="Verdana" w:cs="Arial"/>
                <w:sz w:val="20"/>
                <w:szCs w:val="20"/>
              </w:rPr>
            </w:pPr>
            <w:r w:rsidRPr="001B6BF3">
              <w:rPr>
                <w:rFonts w:ascii="Verdana" w:hAnsi="Verdana" w:cs="Arial"/>
                <w:b/>
                <w:color w:val="FFFFFF" w:themeColor="background1"/>
                <w:sz w:val="20"/>
                <w:szCs w:val="20"/>
                <w:lang w:val="nl-NL"/>
              </w:rPr>
              <w:lastRenderedPageBreak/>
              <w:t>Publications</w:t>
            </w:r>
          </w:p>
        </w:tc>
      </w:tr>
      <w:tr w:rsidR="003A0660" w:rsidRPr="001B6BF3" w14:paraId="7565C7DF" w14:textId="77777777" w:rsidTr="00DF1A9F">
        <w:trPr>
          <w:trHeight w:val="1405"/>
        </w:trPr>
        <w:tc>
          <w:tcPr>
            <w:tcW w:w="10854" w:type="dxa"/>
          </w:tcPr>
          <w:p w14:paraId="7A639A6D" w14:textId="77777777" w:rsidR="00DF1A9F" w:rsidRPr="001B6BF3" w:rsidRDefault="00DF1A9F" w:rsidP="00DF1A9F">
            <w:pPr>
              <w:autoSpaceDE w:val="0"/>
              <w:autoSpaceDN w:val="0"/>
              <w:adjustRightInd w:val="0"/>
              <w:spacing w:after="0" w:line="240" w:lineRule="auto"/>
              <w:rPr>
                <w:rFonts w:ascii="Verdana" w:hAnsi="Verdana" w:cs="Arial"/>
                <w:sz w:val="20"/>
                <w:szCs w:val="20"/>
              </w:rPr>
            </w:pPr>
          </w:p>
          <w:p w14:paraId="119F3FD3" w14:textId="77777777" w:rsidR="001B6BF3" w:rsidRPr="001B6BF3" w:rsidRDefault="001B6BF3" w:rsidP="001B6BF3">
            <w:pPr>
              <w:autoSpaceDE w:val="0"/>
              <w:autoSpaceDN w:val="0"/>
              <w:adjustRightInd w:val="0"/>
              <w:spacing w:after="0" w:line="240" w:lineRule="auto"/>
              <w:rPr>
                <w:rFonts w:ascii="Verdana" w:hAnsi="Verdana" w:cs="Arial"/>
                <w:sz w:val="20"/>
                <w:szCs w:val="20"/>
              </w:rPr>
            </w:pPr>
            <w:r w:rsidRPr="001B6BF3">
              <w:rPr>
                <w:rFonts w:ascii="Verdana" w:hAnsi="Verdana" w:cs="Arial"/>
                <w:sz w:val="20"/>
                <w:szCs w:val="20"/>
              </w:rPr>
              <w:t xml:space="preserve">Szczepek Reed, B. (2012): “Prosody, syntax and action formation: intonation phrases as ‘action components’”, in </w:t>
            </w:r>
            <w:proofErr w:type="spellStart"/>
            <w:r w:rsidRPr="001B6BF3">
              <w:rPr>
                <w:rFonts w:ascii="Verdana" w:hAnsi="Verdana" w:cs="Arial"/>
                <w:sz w:val="20"/>
                <w:szCs w:val="20"/>
              </w:rPr>
              <w:t>Bermann</w:t>
            </w:r>
            <w:proofErr w:type="spellEnd"/>
            <w:r w:rsidRPr="001B6BF3">
              <w:rPr>
                <w:rFonts w:ascii="Verdana" w:hAnsi="Verdana" w:cs="Arial"/>
                <w:sz w:val="20"/>
                <w:szCs w:val="20"/>
              </w:rPr>
              <w:t xml:space="preserve">, P., </w:t>
            </w:r>
            <w:proofErr w:type="spellStart"/>
            <w:r w:rsidRPr="001B6BF3">
              <w:rPr>
                <w:rFonts w:ascii="Verdana" w:hAnsi="Verdana" w:cs="Arial"/>
                <w:sz w:val="20"/>
                <w:szCs w:val="20"/>
              </w:rPr>
              <w:t>Brenning</w:t>
            </w:r>
            <w:proofErr w:type="spellEnd"/>
            <w:r w:rsidRPr="001B6BF3">
              <w:rPr>
                <w:rFonts w:ascii="Verdana" w:hAnsi="Verdana" w:cs="Arial"/>
                <w:sz w:val="20"/>
                <w:szCs w:val="20"/>
              </w:rPr>
              <w:t xml:space="preserve">, J., Pfeiffer, M. and </w:t>
            </w:r>
            <w:proofErr w:type="spellStart"/>
            <w:r w:rsidRPr="001B6BF3">
              <w:rPr>
                <w:rFonts w:ascii="Verdana" w:hAnsi="Verdana" w:cs="Arial"/>
                <w:sz w:val="20"/>
                <w:szCs w:val="20"/>
              </w:rPr>
              <w:t>Reber</w:t>
            </w:r>
            <w:proofErr w:type="spellEnd"/>
            <w:r w:rsidRPr="001B6BF3">
              <w:rPr>
                <w:rFonts w:ascii="Verdana" w:hAnsi="Verdana" w:cs="Arial"/>
                <w:sz w:val="20"/>
                <w:szCs w:val="20"/>
              </w:rPr>
              <w:t xml:space="preserve">, E. (eds.) </w:t>
            </w:r>
            <w:r w:rsidRPr="001B6BF3">
              <w:rPr>
                <w:rFonts w:ascii="Verdana" w:hAnsi="Verdana" w:cs="Arial"/>
                <w:i/>
                <w:sz w:val="20"/>
                <w:szCs w:val="20"/>
              </w:rPr>
              <w:t>Prosody and Embodiment in Interactional Grammar</w:t>
            </w:r>
            <w:r w:rsidRPr="001B6BF3">
              <w:rPr>
                <w:rFonts w:ascii="Verdana" w:hAnsi="Verdana" w:cs="Arial"/>
                <w:sz w:val="20"/>
                <w:szCs w:val="20"/>
              </w:rPr>
              <w:t xml:space="preserve">, Berlin: de </w:t>
            </w:r>
            <w:proofErr w:type="spellStart"/>
            <w:r w:rsidRPr="001B6BF3">
              <w:rPr>
                <w:rFonts w:ascii="Verdana" w:hAnsi="Verdana" w:cs="Arial"/>
                <w:sz w:val="20"/>
                <w:szCs w:val="20"/>
              </w:rPr>
              <w:t>Gruyter</w:t>
            </w:r>
            <w:proofErr w:type="spellEnd"/>
            <w:r w:rsidRPr="001B6BF3">
              <w:rPr>
                <w:rFonts w:ascii="Verdana" w:hAnsi="Verdana" w:cs="Arial"/>
                <w:sz w:val="20"/>
                <w:szCs w:val="20"/>
              </w:rPr>
              <w:t>, 142-169.</w:t>
            </w:r>
          </w:p>
          <w:p w14:paraId="25603222" w14:textId="77777777" w:rsidR="001B6BF3" w:rsidRPr="001B6BF3" w:rsidRDefault="001B6BF3" w:rsidP="001B6BF3">
            <w:pPr>
              <w:autoSpaceDE w:val="0"/>
              <w:autoSpaceDN w:val="0"/>
              <w:adjustRightInd w:val="0"/>
              <w:spacing w:after="0" w:line="240" w:lineRule="auto"/>
              <w:rPr>
                <w:rFonts w:ascii="Verdana" w:hAnsi="Verdana" w:cs="Arial"/>
                <w:sz w:val="20"/>
                <w:szCs w:val="20"/>
              </w:rPr>
            </w:pPr>
          </w:p>
          <w:p w14:paraId="767009D5" w14:textId="77777777" w:rsidR="001B6BF3" w:rsidRPr="001B6BF3" w:rsidRDefault="001B6BF3" w:rsidP="001B6BF3">
            <w:pPr>
              <w:autoSpaceDE w:val="0"/>
              <w:autoSpaceDN w:val="0"/>
              <w:adjustRightInd w:val="0"/>
              <w:spacing w:after="0" w:line="240" w:lineRule="auto"/>
              <w:rPr>
                <w:rFonts w:ascii="Verdana" w:hAnsi="Verdana" w:cs="Arial"/>
                <w:sz w:val="20"/>
                <w:szCs w:val="20"/>
              </w:rPr>
            </w:pPr>
            <w:r w:rsidRPr="001B6BF3">
              <w:rPr>
                <w:rFonts w:ascii="Verdana" w:hAnsi="Verdana" w:cs="Arial"/>
                <w:sz w:val="20"/>
                <w:szCs w:val="20"/>
              </w:rPr>
              <w:t xml:space="preserve">Szczepek Reed, B. (2010): Intonation phrases in natural conversation: A participants’ category? In: Barth-Weingarten, D., </w:t>
            </w:r>
            <w:proofErr w:type="spellStart"/>
            <w:r w:rsidRPr="001B6BF3">
              <w:rPr>
                <w:rFonts w:ascii="Verdana" w:hAnsi="Verdana" w:cs="Arial"/>
                <w:sz w:val="20"/>
                <w:szCs w:val="20"/>
              </w:rPr>
              <w:t>Reber</w:t>
            </w:r>
            <w:proofErr w:type="spellEnd"/>
            <w:r w:rsidRPr="001B6BF3">
              <w:rPr>
                <w:rFonts w:ascii="Verdana" w:hAnsi="Verdana" w:cs="Arial"/>
                <w:sz w:val="20"/>
                <w:szCs w:val="20"/>
              </w:rPr>
              <w:t xml:space="preserve">, E. and </w:t>
            </w:r>
            <w:proofErr w:type="spellStart"/>
            <w:r w:rsidRPr="001B6BF3">
              <w:rPr>
                <w:rFonts w:ascii="Verdana" w:hAnsi="Verdana" w:cs="Arial"/>
                <w:sz w:val="20"/>
                <w:szCs w:val="20"/>
              </w:rPr>
              <w:t>Selting</w:t>
            </w:r>
            <w:proofErr w:type="spellEnd"/>
            <w:r w:rsidRPr="001B6BF3">
              <w:rPr>
                <w:rFonts w:ascii="Verdana" w:hAnsi="Verdana" w:cs="Arial"/>
                <w:sz w:val="20"/>
                <w:szCs w:val="20"/>
              </w:rPr>
              <w:t xml:space="preserve">, M. (Eds.) </w:t>
            </w:r>
            <w:r w:rsidRPr="001B6BF3">
              <w:rPr>
                <w:rFonts w:ascii="Verdana" w:hAnsi="Verdana" w:cs="Arial"/>
                <w:i/>
                <w:sz w:val="20"/>
                <w:szCs w:val="20"/>
              </w:rPr>
              <w:t>Prosody in Interaction</w:t>
            </w:r>
            <w:r w:rsidRPr="001B6BF3">
              <w:rPr>
                <w:rFonts w:ascii="Verdana" w:hAnsi="Verdana" w:cs="Arial"/>
                <w:sz w:val="20"/>
                <w:szCs w:val="20"/>
              </w:rPr>
              <w:t xml:space="preserve">. Amsterdam: </w:t>
            </w:r>
            <w:proofErr w:type="spellStart"/>
            <w:r w:rsidRPr="001B6BF3">
              <w:rPr>
                <w:rFonts w:ascii="Verdana" w:hAnsi="Verdana" w:cs="Arial"/>
                <w:sz w:val="20"/>
                <w:szCs w:val="20"/>
              </w:rPr>
              <w:t>Benjamins</w:t>
            </w:r>
            <w:proofErr w:type="spellEnd"/>
            <w:r w:rsidRPr="001B6BF3">
              <w:rPr>
                <w:rFonts w:ascii="Verdana" w:hAnsi="Verdana" w:cs="Arial"/>
                <w:sz w:val="20"/>
                <w:szCs w:val="20"/>
              </w:rPr>
              <w:t>. Pp. 191-212.</w:t>
            </w:r>
          </w:p>
          <w:p w14:paraId="43361528" w14:textId="77777777" w:rsidR="001B6BF3" w:rsidRPr="001B6BF3" w:rsidRDefault="001B6BF3" w:rsidP="001B6BF3">
            <w:pPr>
              <w:autoSpaceDE w:val="0"/>
              <w:autoSpaceDN w:val="0"/>
              <w:adjustRightInd w:val="0"/>
              <w:spacing w:after="0" w:line="240" w:lineRule="auto"/>
              <w:rPr>
                <w:rFonts w:ascii="Verdana" w:hAnsi="Verdana" w:cs="Arial"/>
                <w:sz w:val="20"/>
                <w:szCs w:val="20"/>
              </w:rPr>
            </w:pPr>
          </w:p>
          <w:p w14:paraId="0913E3D3" w14:textId="51292D0C" w:rsidR="003A0660" w:rsidRPr="001B6BF3" w:rsidRDefault="001B6BF3" w:rsidP="001B6BF3">
            <w:pPr>
              <w:autoSpaceDE w:val="0"/>
              <w:autoSpaceDN w:val="0"/>
              <w:adjustRightInd w:val="0"/>
              <w:spacing w:after="0" w:line="240" w:lineRule="auto"/>
              <w:rPr>
                <w:rFonts w:ascii="Verdana" w:hAnsi="Verdana" w:cs="Arial"/>
                <w:sz w:val="20"/>
                <w:szCs w:val="20"/>
              </w:rPr>
            </w:pPr>
            <w:r w:rsidRPr="001B6BF3">
              <w:rPr>
                <w:rFonts w:ascii="Verdana" w:hAnsi="Verdana" w:cs="Arial"/>
                <w:sz w:val="20"/>
                <w:szCs w:val="20"/>
              </w:rPr>
              <w:t>Szczepek Reed, B. (2010): Units of interaction: Tone units or Turn Constructional Phrases</w:t>
            </w:r>
            <w:proofErr w:type="gramStart"/>
            <w:r w:rsidRPr="001B6BF3">
              <w:rPr>
                <w:rFonts w:ascii="Verdana" w:hAnsi="Verdana" w:cs="Arial"/>
                <w:sz w:val="20"/>
                <w:szCs w:val="20"/>
              </w:rPr>
              <w:t>?.</w:t>
            </w:r>
            <w:proofErr w:type="gramEnd"/>
            <w:r w:rsidRPr="001B6BF3">
              <w:rPr>
                <w:rFonts w:ascii="Verdana" w:hAnsi="Verdana" w:cs="Arial"/>
                <w:sz w:val="20"/>
                <w:szCs w:val="20"/>
              </w:rPr>
              <w:t xml:space="preserve"> In: </w:t>
            </w:r>
            <w:proofErr w:type="spellStart"/>
            <w:r w:rsidRPr="001B6BF3">
              <w:rPr>
                <w:rFonts w:ascii="Verdana" w:hAnsi="Verdana" w:cs="Arial"/>
                <w:sz w:val="20"/>
                <w:szCs w:val="20"/>
              </w:rPr>
              <w:t>Delais-Roussarie</w:t>
            </w:r>
            <w:proofErr w:type="spellEnd"/>
            <w:r w:rsidRPr="001B6BF3">
              <w:rPr>
                <w:rFonts w:ascii="Verdana" w:hAnsi="Verdana" w:cs="Arial"/>
                <w:sz w:val="20"/>
                <w:szCs w:val="20"/>
              </w:rPr>
              <w:t xml:space="preserve">, E. (Ed.): </w:t>
            </w:r>
            <w:r w:rsidRPr="001B6BF3">
              <w:rPr>
                <w:rFonts w:ascii="Verdana" w:hAnsi="Verdana" w:cs="Arial"/>
                <w:i/>
                <w:sz w:val="20"/>
                <w:szCs w:val="20"/>
              </w:rPr>
              <w:t>Conference Proceedings:</w:t>
            </w:r>
            <w:r w:rsidRPr="001B6BF3">
              <w:rPr>
                <w:rFonts w:ascii="Verdana" w:hAnsi="Verdana" w:cs="Arial"/>
                <w:sz w:val="20"/>
                <w:szCs w:val="20"/>
              </w:rPr>
              <w:t xml:space="preserve"> </w:t>
            </w:r>
            <w:r w:rsidRPr="001B6BF3">
              <w:rPr>
                <w:rFonts w:ascii="Verdana" w:hAnsi="Verdana" w:cs="Arial"/>
                <w:i/>
                <w:sz w:val="20"/>
                <w:szCs w:val="20"/>
              </w:rPr>
              <w:t>Interface Discourse and Prosody</w:t>
            </w:r>
            <w:r w:rsidRPr="001B6BF3">
              <w:rPr>
                <w:rFonts w:ascii="Verdana" w:hAnsi="Verdana" w:cs="Arial"/>
                <w:sz w:val="20"/>
                <w:szCs w:val="20"/>
              </w:rPr>
              <w:t>. Paris, 9-11 Sept. 2009. Pp. 351-363</w:t>
            </w:r>
            <w:bookmarkStart w:id="0" w:name="_GoBack"/>
            <w:bookmarkEnd w:id="0"/>
          </w:p>
          <w:p w14:paraId="1A136711" w14:textId="2C8F1B37" w:rsidR="00FC46B8" w:rsidRPr="001B6BF3"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1B6BF3">
          <w:rPr>
            <w:noProof/>
          </w:rPr>
          <w:t>2</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1B6BF3"/>
    <w:rsid w:val="002279EC"/>
    <w:rsid w:val="0024793B"/>
    <w:rsid w:val="002819EE"/>
    <w:rsid w:val="002E20D0"/>
    <w:rsid w:val="002E35E5"/>
    <w:rsid w:val="0036205E"/>
    <w:rsid w:val="0036715A"/>
    <w:rsid w:val="00384D4F"/>
    <w:rsid w:val="003921A1"/>
    <w:rsid w:val="003947E3"/>
    <w:rsid w:val="003A0660"/>
    <w:rsid w:val="00467404"/>
    <w:rsid w:val="004B69B0"/>
    <w:rsid w:val="00523744"/>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B4251"/>
    <w:rsid w:val="009E3DE2"/>
    <w:rsid w:val="00A13CE5"/>
    <w:rsid w:val="00A938F6"/>
    <w:rsid w:val="00AE15C8"/>
    <w:rsid w:val="00B40851"/>
    <w:rsid w:val="00C72194"/>
    <w:rsid w:val="00DD5A3D"/>
    <w:rsid w:val="00DF1A9F"/>
    <w:rsid w:val="00E74F7C"/>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86A1E-66F6-4937-98CB-8E1832DE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7EC4DA3F.dotm</Template>
  <TotalTime>6</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3</cp:revision>
  <cp:lastPrinted>2013-02-19T09:45:00Z</cp:lastPrinted>
  <dcterms:created xsi:type="dcterms:W3CDTF">2013-03-04T15:45:00Z</dcterms:created>
  <dcterms:modified xsi:type="dcterms:W3CDTF">2013-03-04T15:51:00Z</dcterms:modified>
</cp:coreProperties>
</file>